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0E" w:rsidRDefault="0036420E" w:rsidP="0036420E">
      <w:pPr>
        <w:jc w:val="center"/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1840028" cy="741082"/>
            <wp:effectExtent l="0" t="0" r="8255" b="1905"/>
            <wp:docPr id="1" name="Imagen 1" descr="D:\Documents\documentos\CTA\LOGO SEC GENRO C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cumentos\CTA\LOGO SEC GENRO C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28" cy="74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page" w:horzAnchor="margin" w:tblpXSpec="center" w:tblpY="2232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192"/>
      </w:tblGrid>
      <w:tr w:rsidR="0036420E" w:rsidRPr="005B6C19" w:rsidTr="0036420E">
        <w:tc>
          <w:tcPr>
            <w:tcW w:w="8978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8064A2" w:themeFill="accent4"/>
          </w:tcPr>
          <w:p w:rsidR="0036420E" w:rsidRPr="005B6C19" w:rsidRDefault="0036420E" w:rsidP="00C20D2E">
            <w:pPr>
              <w:rPr>
                <w:color w:val="FFFFFF" w:themeColor="background1"/>
              </w:rPr>
            </w:pPr>
            <w:r w:rsidRPr="005B6C19">
              <w:rPr>
                <w:color w:val="FFFFFF" w:themeColor="background1"/>
              </w:rPr>
              <w:t>Programa Encuentro Nacional de la Secretaría de género CTA 2016</w:t>
            </w:r>
          </w:p>
        </w:tc>
      </w:tr>
      <w:tr w:rsidR="0036420E" w:rsidTr="0036420E">
        <w:tc>
          <w:tcPr>
            <w:tcW w:w="8978" w:type="dxa"/>
            <w:gridSpan w:val="3"/>
            <w:tcBorders>
              <w:top w:val="single" w:sz="4" w:space="0" w:color="8064A2" w:themeColor="accent4"/>
            </w:tcBorders>
            <w:shd w:val="clear" w:color="auto" w:fill="8064A2" w:themeFill="accent4"/>
          </w:tcPr>
          <w:p w:rsidR="0036420E" w:rsidRPr="005B6C19" w:rsidRDefault="0036420E" w:rsidP="00C20D2E">
            <w:pPr>
              <w:rPr>
                <w:color w:val="FFFFFF" w:themeColor="background1"/>
              </w:rPr>
            </w:pPr>
            <w:r w:rsidRPr="005B6C19">
              <w:rPr>
                <w:color w:val="FFFFFF" w:themeColor="background1"/>
              </w:rPr>
              <w:t>6 de mayo</w:t>
            </w:r>
          </w:p>
        </w:tc>
      </w:tr>
      <w:tr w:rsidR="0036420E" w:rsidTr="0036420E">
        <w:tc>
          <w:tcPr>
            <w:tcW w:w="959" w:type="dxa"/>
            <w:tcBorders>
              <w:top w:val="single" w:sz="4" w:space="0" w:color="8064A2" w:themeColor="accent4"/>
            </w:tcBorders>
          </w:tcPr>
          <w:p w:rsidR="0036420E" w:rsidRDefault="0036420E" w:rsidP="00C20D2E">
            <w:r>
              <w:t>9.30</w:t>
            </w:r>
          </w:p>
        </w:tc>
        <w:tc>
          <w:tcPr>
            <w:tcW w:w="3827" w:type="dxa"/>
            <w:tcBorders>
              <w:top w:val="single" w:sz="4" w:space="0" w:color="8064A2" w:themeColor="accent4"/>
            </w:tcBorders>
          </w:tcPr>
          <w:p w:rsidR="0036420E" w:rsidRDefault="0036420E" w:rsidP="00C20D2E">
            <w:r>
              <w:t xml:space="preserve">Apertura </w:t>
            </w:r>
          </w:p>
        </w:tc>
        <w:tc>
          <w:tcPr>
            <w:tcW w:w="4192" w:type="dxa"/>
            <w:tcBorders>
              <w:top w:val="single" w:sz="4" w:space="0" w:color="8064A2" w:themeColor="accent4"/>
            </w:tcBorders>
          </w:tcPr>
          <w:p w:rsidR="0036420E" w:rsidRDefault="0036420E" w:rsidP="00C20D2E">
            <w:r>
              <w:t>Estela Díaz</w:t>
            </w:r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 xml:space="preserve">10 </w:t>
            </w:r>
          </w:p>
        </w:tc>
        <w:tc>
          <w:tcPr>
            <w:tcW w:w="3827" w:type="dxa"/>
          </w:tcPr>
          <w:p w:rsidR="0036420E" w:rsidRDefault="0036420E" w:rsidP="00C20D2E">
            <w:r>
              <w:t>Situación política nacional, desafíos para el movimiento sindical y la CTA</w:t>
            </w:r>
          </w:p>
        </w:tc>
        <w:tc>
          <w:tcPr>
            <w:tcW w:w="4192" w:type="dxa"/>
          </w:tcPr>
          <w:p w:rsidR="0036420E" w:rsidRDefault="0036420E" w:rsidP="00C20D2E">
            <w:r>
              <w:t xml:space="preserve">Hugo </w:t>
            </w:r>
            <w:proofErr w:type="spellStart"/>
            <w:r>
              <w:t>Yasky</w:t>
            </w:r>
            <w:proofErr w:type="spellEnd"/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11</w:t>
            </w:r>
          </w:p>
        </w:tc>
        <w:tc>
          <w:tcPr>
            <w:tcW w:w="3827" w:type="dxa"/>
          </w:tcPr>
          <w:p w:rsidR="0036420E" w:rsidRDefault="0036420E" w:rsidP="00C20D2E">
            <w:r>
              <w:t>Intercambio sobre situación en diferentes provincias presentes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11.30</w:t>
            </w:r>
          </w:p>
        </w:tc>
        <w:tc>
          <w:tcPr>
            <w:tcW w:w="3827" w:type="dxa"/>
          </w:tcPr>
          <w:p w:rsidR="0036420E" w:rsidRDefault="0036420E" w:rsidP="00C20D2E">
            <w:r>
              <w:t>Informe CIFRA. Coyuntura y tarifas</w:t>
            </w:r>
          </w:p>
        </w:tc>
        <w:tc>
          <w:tcPr>
            <w:tcW w:w="4192" w:type="dxa"/>
          </w:tcPr>
          <w:p w:rsidR="0036420E" w:rsidRDefault="0036420E" w:rsidP="00C20D2E">
            <w:r>
              <w:t>Mariana González y equipo</w:t>
            </w:r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12.30 a 13.30</w:t>
            </w:r>
          </w:p>
        </w:tc>
        <w:tc>
          <w:tcPr>
            <w:tcW w:w="3827" w:type="dxa"/>
          </w:tcPr>
          <w:p w:rsidR="0036420E" w:rsidRDefault="0036420E" w:rsidP="00C20D2E">
            <w:r>
              <w:t>Debate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RPr="005B6C19" w:rsidTr="0036420E">
        <w:tc>
          <w:tcPr>
            <w:tcW w:w="959" w:type="dxa"/>
            <w:shd w:val="clear" w:color="auto" w:fill="8064A2" w:themeFill="accent4"/>
          </w:tcPr>
          <w:p w:rsidR="0036420E" w:rsidRPr="005B6C19" w:rsidRDefault="0036420E" w:rsidP="00C20D2E">
            <w:pPr>
              <w:rPr>
                <w:color w:val="FFFFFF" w:themeColor="background1"/>
              </w:rPr>
            </w:pPr>
            <w:r w:rsidRPr="005B6C19">
              <w:rPr>
                <w:color w:val="FFFFFF" w:themeColor="background1"/>
              </w:rPr>
              <w:t>13.30 a 15</w:t>
            </w:r>
          </w:p>
        </w:tc>
        <w:tc>
          <w:tcPr>
            <w:tcW w:w="3827" w:type="dxa"/>
            <w:shd w:val="clear" w:color="auto" w:fill="8064A2" w:themeFill="accent4"/>
          </w:tcPr>
          <w:p w:rsidR="0036420E" w:rsidRPr="005B6C19" w:rsidRDefault="0036420E" w:rsidP="00C20D2E">
            <w:pPr>
              <w:rPr>
                <w:color w:val="FFFFFF" w:themeColor="background1"/>
              </w:rPr>
            </w:pPr>
            <w:r w:rsidRPr="005B6C19">
              <w:rPr>
                <w:color w:val="FFFFFF" w:themeColor="background1"/>
              </w:rPr>
              <w:t>Almuerzo</w:t>
            </w:r>
          </w:p>
        </w:tc>
        <w:tc>
          <w:tcPr>
            <w:tcW w:w="4192" w:type="dxa"/>
            <w:shd w:val="clear" w:color="auto" w:fill="8064A2" w:themeFill="accent4"/>
          </w:tcPr>
          <w:p w:rsidR="0036420E" w:rsidRPr="005B6C19" w:rsidRDefault="0036420E" w:rsidP="00C20D2E">
            <w:pPr>
              <w:rPr>
                <w:color w:val="FFFFFF" w:themeColor="background1"/>
              </w:rPr>
            </w:pPr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15</w:t>
            </w:r>
          </w:p>
        </w:tc>
        <w:tc>
          <w:tcPr>
            <w:tcW w:w="3827" w:type="dxa"/>
          </w:tcPr>
          <w:p w:rsidR="0036420E" w:rsidRDefault="0036420E" w:rsidP="00C20D2E">
            <w:r>
              <w:t>Los debates feministas actuales.</w:t>
            </w:r>
          </w:p>
          <w:p w:rsidR="0036420E" w:rsidRDefault="0036420E" w:rsidP="0036420E">
            <w:r>
              <w:t xml:space="preserve">La perspectiva de género en la </w:t>
            </w:r>
            <w:r>
              <w:t>agenda del mundo del trabajo</w:t>
            </w:r>
          </w:p>
        </w:tc>
        <w:tc>
          <w:tcPr>
            <w:tcW w:w="4192" w:type="dxa"/>
          </w:tcPr>
          <w:p w:rsidR="0036420E" w:rsidRDefault="0036420E" w:rsidP="00C20D2E">
            <w:r>
              <w:t xml:space="preserve">Flavia </w:t>
            </w:r>
            <w:proofErr w:type="spellStart"/>
            <w:r>
              <w:t>Delmas</w:t>
            </w:r>
            <w:proofErr w:type="spellEnd"/>
          </w:p>
          <w:p w:rsidR="0036420E" w:rsidRDefault="0036420E" w:rsidP="00C20D2E">
            <w:r>
              <w:t xml:space="preserve">Nora </w:t>
            </w:r>
            <w:proofErr w:type="spellStart"/>
            <w:r>
              <w:t>Goren</w:t>
            </w:r>
            <w:proofErr w:type="spellEnd"/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16</w:t>
            </w:r>
          </w:p>
        </w:tc>
        <w:tc>
          <w:tcPr>
            <w:tcW w:w="3827" w:type="dxa"/>
          </w:tcPr>
          <w:p w:rsidR="0036420E" w:rsidRDefault="0036420E" w:rsidP="00C20D2E">
            <w:r>
              <w:t>Debate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16.30</w:t>
            </w:r>
          </w:p>
        </w:tc>
        <w:tc>
          <w:tcPr>
            <w:tcW w:w="3827" w:type="dxa"/>
          </w:tcPr>
          <w:p w:rsidR="0036420E" w:rsidRDefault="0036420E" w:rsidP="00C20D2E">
            <w:r>
              <w:t xml:space="preserve">Café 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17 a 18.30</w:t>
            </w:r>
          </w:p>
        </w:tc>
        <w:tc>
          <w:tcPr>
            <w:tcW w:w="3827" w:type="dxa"/>
          </w:tcPr>
          <w:p w:rsidR="0036420E" w:rsidRDefault="0036420E" w:rsidP="00C20D2E">
            <w:r>
              <w:t>Conversatorio con dirigentes sindicales</w:t>
            </w:r>
          </w:p>
        </w:tc>
        <w:tc>
          <w:tcPr>
            <w:tcW w:w="4192" w:type="dxa"/>
          </w:tcPr>
          <w:p w:rsidR="0036420E" w:rsidRDefault="0036420E" w:rsidP="00C20D2E">
            <w:r>
              <w:t xml:space="preserve">Coordina: María </w:t>
            </w:r>
            <w:proofErr w:type="spellStart"/>
            <w:r>
              <w:t>Rigat</w:t>
            </w:r>
            <w:proofErr w:type="spellEnd"/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20.30</w:t>
            </w:r>
          </w:p>
        </w:tc>
        <w:tc>
          <w:tcPr>
            <w:tcW w:w="3827" w:type="dxa"/>
          </w:tcPr>
          <w:p w:rsidR="0036420E" w:rsidRDefault="0036420E" w:rsidP="00C20D2E">
            <w:r>
              <w:t xml:space="preserve">Cena 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RPr="005B6C19" w:rsidTr="0036420E">
        <w:tc>
          <w:tcPr>
            <w:tcW w:w="8978" w:type="dxa"/>
            <w:gridSpan w:val="3"/>
            <w:shd w:val="clear" w:color="auto" w:fill="8064A2" w:themeFill="accent4"/>
          </w:tcPr>
          <w:p w:rsidR="0036420E" w:rsidRPr="005B6C19" w:rsidRDefault="0036420E" w:rsidP="00C20D2E">
            <w:pPr>
              <w:rPr>
                <w:color w:val="FFFFFF" w:themeColor="background1"/>
              </w:rPr>
            </w:pPr>
            <w:r w:rsidRPr="005B6C19">
              <w:rPr>
                <w:color w:val="FFFFFF" w:themeColor="background1"/>
              </w:rPr>
              <w:t>7 de mayo</w:t>
            </w:r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9</w:t>
            </w:r>
          </w:p>
        </w:tc>
        <w:tc>
          <w:tcPr>
            <w:tcW w:w="3827" w:type="dxa"/>
          </w:tcPr>
          <w:p w:rsidR="0036420E" w:rsidRDefault="0036420E" w:rsidP="00C20D2E">
            <w:r>
              <w:t>Lineamientos generales para el plan de trabajo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9.30</w:t>
            </w:r>
          </w:p>
        </w:tc>
        <w:tc>
          <w:tcPr>
            <w:tcW w:w="3827" w:type="dxa"/>
          </w:tcPr>
          <w:p w:rsidR="0036420E" w:rsidRDefault="0036420E" w:rsidP="00C20D2E">
            <w:r>
              <w:t>Trabajo en grupos para definir ejes de trabajo de las Secretarías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11</w:t>
            </w:r>
          </w:p>
        </w:tc>
        <w:tc>
          <w:tcPr>
            <w:tcW w:w="3827" w:type="dxa"/>
          </w:tcPr>
          <w:p w:rsidR="0036420E" w:rsidRDefault="0036420E" w:rsidP="00C20D2E">
            <w:r>
              <w:t xml:space="preserve">Puesta en común en plenario y definición del plan </w:t>
            </w:r>
          </w:p>
        </w:tc>
        <w:tc>
          <w:tcPr>
            <w:tcW w:w="4192" w:type="dxa"/>
          </w:tcPr>
          <w:p w:rsidR="0036420E" w:rsidRDefault="0036420E" w:rsidP="00C20D2E"/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12</w:t>
            </w:r>
          </w:p>
        </w:tc>
        <w:tc>
          <w:tcPr>
            <w:tcW w:w="3827" w:type="dxa"/>
          </w:tcPr>
          <w:p w:rsidR="0036420E" w:rsidRDefault="0036420E" w:rsidP="00C20D2E">
            <w:r>
              <w:t>Aportes para la agenda sindical y coyuntura</w:t>
            </w:r>
          </w:p>
        </w:tc>
        <w:tc>
          <w:tcPr>
            <w:tcW w:w="4192" w:type="dxa"/>
          </w:tcPr>
          <w:p w:rsidR="0036420E" w:rsidRDefault="0036420E" w:rsidP="00C20D2E">
            <w:r>
              <w:t xml:space="preserve">Pedro </w:t>
            </w:r>
            <w:proofErr w:type="spellStart"/>
            <w:r>
              <w:t>Wasiejko</w:t>
            </w:r>
            <w:proofErr w:type="spellEnd"/>
          </w:p>
        </w:tc>
      </w:tr>
      <w:tr w:rsidR="0036420E" w:rsidTr="0036420E">
        <w:tc>
          <w:tcPr>
            <w:tcW w:w="959" w:type="dxa"/>
          </w:tcPr>
          <w:p w:rsidR="0036420E" w:rsidRDefault="0036420E" w:rsidP="00C20D2E">
            <w:r>
              <w:t>13</w:t>
            </w:r>
          </w:p>
        </w:tc>
        <w:tc>
          <w:tcPr>
            <w:tcW w:w="3827" w:type="dxa"/>
          </w:tcPr>
          <w:p w:rsidR="0036420E" w:rsidRDefault="0036420E" w:rsidP="00C20D2E">
            <w:r>
              <w:t>Almuerzo</w:t>
            </w:r>
          </w:p>
        </w:tc>
        <w:tc>
          <w:tcPr>
            <w:tcW w:w="4192" w:type="dxa"/>
          </w:tcPr>
          <w:p w:rsidR="0036420E" w:rsidRDefault="0036420E" w:rsidP="00C20D2E"/>
        </w:tc>
      </w:tr>
    </w:tbl>
    <w:p w:rsidR="0036420E" w:rsidRDefault="0036420E" w:rsidP="0036420E"/>
    <w:p w:rsidR="0036420E" w:rsidRDefault="0036420E" w:rsidP="0036420E"/>
    <w:p w:rsidR="0036420E" w:rsidRDefault="0036420E" w:rsidP="0036420E"/>
    <w:p w:rsidR="0036420E" w:rsidRDefault="0036420E" w:rsidP="0036420E">
      <w:pPr>
        <w:jc w:val="center"/>
      </w:pPr>
    </w:p>
    <w:sectPr w:rsidR="0036420E" w:rsidSect="003642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0E"/>
    <w:rsid w:val="0036420E"/>
    <w:rsid w:val="00B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4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4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2016-05-03T22:28:00Z</dcterms:created>
  <dcterms:modified xsi:type="dcterms:W3CDTF">2016-05-03T22:35:00Z</dcterms:modified>
</cp:coreProperties>
</file>